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94" w:rsidRPr="00814384" w:rsidRDefault="003D5394" w:rsidP="003D5394">
      <w:pPr>
        <w:jc w:val="both"/>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3D5394" w:rsidRPr="00732046">
        <w:trPr>
          <w:trHeight w:val="326"/>
        </w:trPr>
        <w:tc>
          <w:tcPr>
            <w:tcW w:w="2700" w:type="dxa"/>
          </w:tcPr>
          <w:p w:rsidR="003D5394" w:rsidRPr="00732046" w:rsidRDefault="003D5394" w:rsidP="002D64BF">
            <w:r w:rsidRPr="00732046">
              <w:rPr>
                <w:sz w:val="22"/>
                <w:szCs w:val="22"/>
              </w:rPr>
              <w:t>Name of Policy:</w:t>
            </w:r>
          </w:p>
        </w:tc>
        <w:tc>
          <w:tcPr>
            <w:tcW w:w="7020" w:type="dxa"/>
          </w:tcPr>
          <w:p w:rsidR="003D5394" w:rsidRPr="00732046" w:rsidRDefault="00AC76A8" w:rsidP="002D64BF">
            <w:pPr>
              <w:jc w:val="center"/>
              <w:rPr>
                <w:b/>
              </w:rPr>
            </w:pPr>
            <w:r>
              <w:rPr>
                <w:b/>
                <w:sz w:val="22"/>
                <w:szCs w:val="22"/>
              </w:rPr>
              <w:t>Staff Grievance Procedure</w:t>
            </w:r>
          </w:p>
        </w:tc>
      </w:tr>
      <w:tr w:rsidR="003D5394" w:rsidRPr="00732046">
        <w:trPr>
          <w:trHeight w:val="318"/>
        </w:trPr>
        <w:tc>
          <w:tcPr>
            <w:tcW w:w="2700" w:type="dxa"/>
          </w:tcPr>
          <w:p w:rsidR="003D5394" w:rsidRPr="00732046" w:rsidRDefault="003D5394" w:rsidP="002D64BF">
            <w:r w:rsidRPr="00732046">
              <w:rPr>
                <w:sz w:val="22"/>
                <w:szCs w:val="22"/>
              </w:rPr>
              <w:t>Name of Setting:</w:t>
            </w:r>
          </w:p>
        </w:tc>
        <w:tc>
          <w:tcPr>
            <w:tcW w:w="7020" w:type="dxa"/>
          </w:tcPr>
          <w:p w:rsidR="003D5394" w:rsidRPr="00732046" w:rsidRDefault="00461A89" w:rsidP="002D64BF">
            <w:pPr>
              <w:jc w:val="center"/>
              <w:rPr>
                <w:b/>
              </w:rPr>
            </w:pPr>
            <w:r>
              <w:rPr>
                <w:b/>
                <w:sz w:val="22"/>
                <w:szCs w:val="22"/>
              </w:rPr>
              <w:t>Busy Bees Pre-School</w:t>
            </w:r>
          </w:p>
        </w:tc>
      </w:tr>
      <w:tr w:rsidR="003D5394" w:rsidRPr="00732046">
        <w:trPr>
          <w:trHeight w:val="318"/>
        </w:trPr>
        <w:tc>
          <w:tcPr>
            <w:tcW w:w="2700" w:type="dxa"/>
          </w:tcPr>
          <w:p w:rsidR="0025101B" w:rsidRDefault="0025101B" w:rsidP="002D64BF"/>
          <w:p w:rsidR="003D5394" w:rsidRPr="00732046" w:rsidRDefault="003D5394" w:rsidP="002D64BF">
            <w:r w:rsidRPr="00732046">
              <w:rPr>
                <w:sz w:val="22"/>
                <w:szCs w:val="22"/>
              </w:rPr>
              <w:t>Overall Aim of Statement:</w:t>
            </w:r>
          </w:p>
        </w:tc>
        <w:tc>
          <w:tcPr>
            <w:tcW w:w="7020" w:type="dxa"/>
          </w:tcPr>
          <w:p w:rsidR="00AC76A8" w:rsidRDefault="00AC76A8" w:rsidP="00AC76A8">
            <w:pPr>
              <w:pStyle w:val="Default"/>
            </w:pPr>
          </w:p>
          <w:tbl>
            <w:tblPr>
              <w:tblW w:w="0" w:type="auto"/>
              <w:tblBorders>
                <w:top w:val="nil"/>
                <w:left w:val="nil"/>
                <w:bottom w:val="nil"/>
                <w:right w:val="nil"/>
              </w:tblBorders>
              <w:tblLook w:val="0000"/>
            </w:tblPr>
            <w:tblGrid>
              <w:gridCol w:w="6804"/>
            </w:tblGrid>
            <w:tr w:rsidR="00AC76A8">
              <w:tblPrEx>
                <w:tblCellMar>
                  <w:top w:w="0" w:type="dxa"/>
                  <w:bottom w:w="0" w:type="dxa"/>
                </w:tblCellMar>
              </w:tblPrEx>
              <w:trPr>
                <w:trHeight w:val="481"/>
              </w:trPr>
              <w:tc>
                <w:tcPr>
                  <w:tcW w:w="0" w:type="auto"/>
                </w:tcPr>
                <w:p w:rsidR="00AC76A8" w:rsidRDefault="00AC76A8">
                  <w:pPr>
                    <w:pStyle w:val="Default"/>
                    <w:rPr>
                      <w:sz w:val="22"/>
                      <w:szCs w:val="22"/>
                    </w:rPr>
                  </w:pPr>
                  <w:r>
                    <w:rPr>
                      <w:sz w:val="22"/>
                      <w:szCs w:val="22"/>
                    </w:rPr>
                    <w:t xml:space="preserve">To resolve problems fairly, promptly and as near as possible to the point of origin, i.e. between the persons most closely involved. This helps prevent minor disagreements developing into more serious disputes. </w:t>
                  </w:r>
                </w:p>
              </w:tc>
            </w:tr>
          </w:tbl>
          <w:p w:rsidR="0025101B" w:rsidRPr="00732046" w:rsidRDefault="0025101B" w:rsidP="002D64BF"/>
        </w:tc>
      </w:tr>
      <w:tr w:rsidR="003D5394" w:rsidRPr="00732046">
        <w:trPr>
          <w:trHeight w:val="7185"/>
        </w:trPr>
        <w:tc>
          <w:tcPr>
            <w:tcW w:w="2700" w:type="dxa"/>
            <w:tcBorders>
              <w:bottom w:val="single" w:sz="4" w:space="0" w:color="auto"/>
            </w:tcBorders>
          </w:tcPr>
          <w:p w:rsidR="0025101B" w:rsidRDefault="0025101B" w:rsidP="002D64BF"/>
          <w:p w:rsidR="003D5394" w:rsidRPr="00732046" w:rsidRDefault="003D5394" w:rsidP="002D64BF">
            <w:r w:rsidRPr="00732046">
              <w:rPr>
                <w:sz w:val="22"/>
                <w:szCs w:val="22"/>
              </w:rPr>
              <w:t>Specific Objectives/ Statements and Procedures for how you will achieve each one:</w:t>
            </w:r>
          </w:p>
          <w:p w:rsidR="003D5394" w:rsidRPr="00732046" w:rsidRDefault="003D5394" w:rsidP="002D64BF"/>
        </w:tc>
        <w:tc>
          <w:tcPr>
            <w:tcW w:w="7020" w:type="dxa"/>
            <w:tcBorders>
              <w:bottom w:val="single" w:sz="4" w:space="0" w:color="auto"/>
            </w:tcBorders>
          </w:tcPr>
          <w:p w:rsidR="00AC76A8" w:rsidRDefault="00AC76A8" w:rsidP="00AC76A8">
            <w:pPr>
              <w:pStyle w:val="Default"/>
            </w:pPr>
          </w:p>
          <w:tbl>
            <w:tblPr>
              <w:tblW w:w="0" w:type="auto"/>
              <w:tblBorders>
                <w:top w:val="nil"/>
                <w:left w:val="nil"/>
                <w:bottom w:val="nil"/>
                <w:right w:val="nil"/>
              </w:tblBorders>
              <w:tblLook w:val="0000"/>
            </w:tblPr>
            <w:tblGrid>
              <w:gridCol w:w="6804"/>
            </w:tblGrid>
            <w:tr w:rsidR="00AC76A8">
              <w:tblPrEx>
                <w:tblCellMar>
                  <w:top w:w="0" w:type="dxa"/>
                  <w:bottom w:w="0" w:type="dxa"/>
                </w:tblCellMar>
              </w:tblPrEx>
              <w:trPr>
                <w:trHeight w:val="3405"/>
              </w:trPr>
              <w:tc>
                <w:tcPr>
                  <w:tcW w:w="0" w:type="auto"/>
                </w:tcPr>
                <w:p w:rsidR="00AC76A8" w:rsidRDefault="00AC76A8" w:rsidP="00AC76A8">
                  <w:pPr>
                    <w:pStyle w:val="Default"/>
                    <w:rPr>
                      <w:sz w:val="22"/>
                      <w:szCs w:val="22"/>
                    </w:rPr>
                  </w:pPr>
                  <w:r>
                    <w:t xml:space="preserve"> </w:t>
                  </w:r>
                  <w:r>
                    <w:rPr>
                      <w:sz w:val="22"/>
                      <w:szCs w:val="22"/>
                    </w:rPr>
                    <w:t xml:space="preserve">We comply with legal requirements. </w:t>
                  </w:r>
                </w:p>
                <w:p w:rsidR="00AC76A8" w:rsidRDefault="00AC76A8">
                  <w:pPr>
                    <w:pStyle w:val="Default"/>
                    <w:rPr>
                      <w:sz w:val="22"/>
                      <w:szCs w:val="22"/>
                    </w:rPr>
                  </w:pPr>
                </w:p>
                <w:p w:rsidR="00AC76A8" w:rsidRDefault="00AC76A8" w:rsidP="00AC76A8">
                  <w:pPr>
                    <w:pStyle w:val="Default"/>
                    <w:numPr>
                      <w:ilvl w:val="0"/>
                      <w:numId w:val="12"/>
                    </w:numPr>
                    <w:rPr>
                      <w:sz w:val="22"/>
                      <w:szCs w:val="22"/>
                    </w:rPr>
                  </w:pPr>
                  <w:r>
                    <w:rPr>
                      <w:sz w:val="22"/>
                      <w:szCs w:val="22"/>
                    </w:rPr>
                    <w:t xml:space="preserve">We prevent grievance by creating a close and friendly working environment and allowing opportunities for group discussions at weekly planning meetings the need for grievance procedures should be limited. </w:t>
                  </w:r>
                </w:p>
                <w:p w:rsidR="00AC76A8" w:rsidRDefault="00AC76A8" w:rsidP="00AC76A8">
                  <w:pPr>
                    <w:pStyle w:val="Default"/>
                    <w:ind w:left="720"/>
                    <w:rPr>
                      <w:sz w:val="22"/>
                      <w:szCs w:val="22"/>
                    </w:rPr>
                  </w:pPr>
                </w:p>
                <w:p w:rsidR="00AC76A8" w:rsidRDefault="00AC76A8" w:rsidP="00AC76A8">
                  <w:pPr>
                    <w:pStyle w:val="Default"/>
                    <w:numPr>
                      <w:ilvl w:val="0"/>
                      <w:numId w:val="12"/>
                    </w:numPr>
                    <w:rPr>
                      <w:sz w:val="22"/>
                      <w:szCs w:val="22"/>
                    </w:rPr>
                  </w:pPr>
                  <w:r w:rsidRPr="00AC76A8">
                    <w:rPr>
                      <w:sz w:val="22"/>
                      <w:szCs w:val="22"/>
                    </w:rPr>
                    <w:t>Any grievance should be initially brought informally to the pre-school leader Suzanne Sum</w:t>
                  </w:r>
                  <w:r>
                    <w:rPr>
                      <w:sz w:val="22"/>
                      <w:szCs w:val="22"/>
                    </w:rPr>
                    <w:t>n</w:t>
                  </w:r>
                  <w:r w:rsidRPr="00AC76A8">
                    <w:rPr>
                      <w:sz w:val="22"/>
                      <w:szCs w:val="22"/>
                    </w:rPr>
                    <w:t xml:space="preserve">er who will discuss the issue and give a verbal response, if this is not practical then the issue will be looked into and at a subsequent meeting an oral response will be given which will be confirmed in writing within 3 working days. </w:t>
                  </w:r>
                </w:p>
                <w:p w:rsidR="00AC76A8" w:rsidRDefault="00AC76A8" w:rsidP="00AC76A8">
                  <w:pPr>
                    <w:pStyle w:val="Default"/>
                    <w:rPr>
                      <w:sz w:val="22"/>
                      <w:szCs w:val="22"/>
                    </w:rPr>
                  </w:pPr>
                </w:p>
                <w:p w:rsidR="00AC76A8" w:rsidRDefault="00AC76A8" w:rsidP="00AC76A8">
                  <w:pPr>
                    <w:pStyle w:val="Default"/>
                    <w:numPr>
                      <w:ilvl w:val="0"/>
                      <w:numId w:val="12"/>
                    </w:numPr>
                    <w:rPr>
                      <w:sz w:val="22"/>
                      <w:szCs w:val="22"/>
                    </w:rPr>
                  </w:pPr>
                  <w:r w:rsidRPr="00AC76A8">
                    <w:rPr>
                      <w:sz w:val="22"/>
                      <w:szCs w:val="22"/>
                    </w:rPr>
                    <w:t xml:space="preserve">Staff can access statutory grievance procedures as mentioned in the websites listed below. </w:t>
                  </w:r>
                </w:p>
                <w:p w:rsidR="00AC76A8" w:rsidRDefault="00AC76A8" w:rsidP="00AC76A8">
                  <w:pPr>
                    <w:pStyle w:val="Default"/>
                    <w:rPr>
                      <w:sz w:val="22"/>
                      <w:szCs w:val="22"/>
                    </w:rPr>
                  </w:pPr>
                </w:p>
                <w:p w:rsidR="00AC76A8" w:rsidRDefault="00AC76A8" w:rsidP="00AC76A8">
                  <w:pPr>
                    <w:pStyle w:val="Default"/>
                    <w:numPr>
                      <w:ilvl w:val="0"/>
                      <w:numId w:val="12"/>
                    </w:numPr>
                    <w:rPr>
                      <w:sz w:val="22"/>
                      <w:szCs w:val="22"/>
                    </w:rPr>
                  </w:pPr>
                  <w:r w:rsidRPr="00AC76A8">
                    <w:rPr>
                      <w:sz w:val="22"/>
                      <w:szCs w:val="22"/>
                    </w:rPr>
                    <w:t xml:space="preserve">If the above does not resolve the problem then the individual can raise the issue with the chairperson in writing. The chairperson will carry out an investigation appropriate to the circumstances and respond in writing. A meeting will then take place between the parties within the shortest possible time and no longer than 6 weeks where an oral response will be given which will be confirmed in writing within 5 working days. </w:t>
                  </w:r>
                </w:p>
                <w:p w:rsidR="00AC76A8" w:rsidRDefault="00AC76A8" w:rsidP="00AC76A8">
                  <w:pPr>
                    <w:pStyle w:val="Default"/>
                    <w:rPr>
                      <w:sz w:val="22"/>
                      <w:szCs w:val="22"/>
                    </w:rPr>
                  </w:pPr>
                </w:p>
                <w:p w:rsidR="00AC76A8" w:rsidRDefault="00AC76A8" w:rsidP="00AC76A8">
                  <w:pPr>
                    <w:pStyle w:val="Default"/>
                    <w:numPr>
                      <w:ilvl w:val="0"/>
                      <w:numId w:val="12"/>
                    </w:numPr>
                    <w:rPr>
                      <w:sz w:val="22"/>
                      <w:szCs w:val="22"/>
                    </w:rPr>
                  </w:pPr>
                  <w:r w:rsidRPr="00AC76A8">
                    <w:rPr>
                      <w:sz w:val="22"/>
                      <w:szCs w:val="22"/>
                    </w:rPr>
                    <w:t xml:space="preserve">Only events directly connected with the original written grievance can be discussed at this meeting. </w:t>
                  </w:r>
                </w:p>
                <w:p w:rsidR="00AC76A8" w:rsidRDefault="00AC76A8" w:rsidP="00AC76A8">
                  <w:pPr>
                    <w:pStyle w:val="Default"/>
                    <w:rPr>
                      <w:sz w:val="22"/>
                      <w:szCs w:val="22"/>
                    </w:rPr>
                  </w:pPr>
                </w:p>
                <w:p w:rsidR="00AC76A8" w:rsidRDefault="00AC76A8" w:rsidP="00AC76A8">
                  <w:pPr>
                    <w:pStyle w:val="Default"/>
                    <w:numPr>
                      <w:ilvl w:val="0"/>
                      <w:numId w:val="12"/>
                    </w:numPr>
                    <w:rPr>
                      <w:sz w:val="22"/>
                      <w:szCs w:val="22"/>
                    </w:rPr>
                  </w:pPr>
                  <w:r w:rsidRPr="00AC76A8">
                    <w:rPr>
                      <w:sz w:val="22"/>
                      <w:szCs w:val="22"/>
                    </w:rPr>
                    <w:t xml:space="preserve">Attendance at the meeting will be compulsory for any staff or committee members listed in the original written grievance and by the employee who has raised the grievance. </w:t>
                  </w:r>
                </w:p>
                <w:p w:rsidR="00AC76A8" w:rsidRPr="00AC76A8" w:rsidRDefault="00AC76A8" w:rsidP="00AC76A8">
                  <w:pPr>
                    <w:pStyle w:val="Default"/>
                    <w:rPr>
                      <w:sz w:val="22"/>
                      <w:szCs w:val="22"/>
                    </w:rPr>
                  </w:pPr>
                </w:p>
                <w:tbl>
                  <w:tblPr>
                    <w:tblW w:w="0" w:type="auto"/>
                    <w:tblBorders>
                      <w:top w:val="nil"/>
                      <w:left w:val="nil"/>
                      <w:bottom w:val="nil"/>
                      <w:right w:val="nil"/>
                    </w:tblBorders>
                    <w:tblLook w:val="0000"/>
                  </w:tblPr>
                  <w:tblGrid>
                    <w:gridCol w:w="6588"/>
                  </w:tblGrid>
                  <w:tr w:rsidR="00AC76A8">
                    <w:tblPrEx>
                      <w:tblCellMar>
                        <w:top w:w="0" w:type="dxa"/>
                        <w:bottom w:w="0" w:type="dxa"/>
                      </w:tblCellMar>
                    </w:tblPrEx>
                    <w:trPr>
                      <w:trHeight w:val="1765"/>
                    </w:trPr>
                    <w:tc>
                      <w:tcPr>
                        <w:tcW w:w="0" w:type="auto"/>
                      </w:tcPr>
                      <w:p w:rsidR="00AC76A8" w:rsidRPr="00AC76A8" w:rsidRDefault="00AC76A8" w:rsidP="00AC76A8">
                        <w:pPr>
                          <w:pStyle w:val="Default"/>
                          <w:rPr>
                            <w:color w:val="auto"/>
                          </w:rPr>
                        </w:pPr>
                      </w:p>
                      <w:p w:rsidR="00AC76A8" w:rsidRPr="00AC76A8" w:rsidRDefault="00AC76A8" w:rsidP="00AC76A8">
                        <w:pPr>
                          <w:pStyle w:val="Default"/>
                          <w:numPr>
                            <w:ilvl w:val="0"/>
                            <w:numId w:val="12"/>
                          </w:numPr>
                          <w:rPr>
                            <w:color w:val="auto"/>
                          </w:rPr>
                        </w:pPr>
                        <w:r>
                          <w:rPr>
                            <w:sz w:val="22"/>
                            <w:szCs w:val="22"/>
                          </w:rPr>
                          <w:t xml:space="preserve">The employee can be accompanied by a friend or relative to the meeting with the chairperson and to any meetings with the trustees. </w:t>
                        </w:r>
                      </w:p>
                      <w:p w:rsidR="00AC76A8" w:rsidRPr="00AC76A8" w:rsidRDefault="00AC76A8" w:rsidP="00AC76A8">
                        <w:pPr>
                          <w:pStyle w:val="Default"/>
                          <w:ind w:left="720"/>
                          <w:rPr>
                            <w:color w:val="auto"/>
                          </w:rPr>
                        </w:pPr>
                      </w:p>
                      <w:p w:rsidR="00AC76A8" w:rsidRDefault="00AC76A8" w:rsidP="00AC76A8">
                        <w:pPr>
                          <w:pStyle w:val="Default"/>
                          <w:numPr>
                            <w:ilvl w:val="0"/>
                            <w:numId w:val="12"/>
                          </w:numPr>
                          <w:rPr>
                            <w:sz w:val="22"/>
                            <w:szCs w:val="22"/>
                          </w:rPr>
                        </w:pPr>
                        <w:r>
                          <w:rPr>
                            <w:sz w:val="22"/>
                            <w:szCs w:val="22"/>
                          </w:rPr>
                          <w:t>The employee will be informed of their right to appeal in the written response generated by the meeting with the chairperson. They must appeal in writing to the chairperson within 14 days.</w:t>
                        </w:r>
                      </w:p>
                      <w:p w:rsidR="00AC76A8" w:rsidRDefault="00AC76A8" w:rsidP="00AC76A8">
                        <w:pPr>
                          <w:pStyle w:val="Default"/>
                          <w:rPr>
                            <w:sz w:val="22"/>
                            <w:szCs w:val="22"/>
                          </w:rPr>
                        </w:pPr>
                      </w:p>
                      <w:p w:rsidR="00AC76A8" w:rsidRDefault="00AC76A8" w:rsidP="00AC76A8">
                        <w:pPr>
                          <w:pStyle w:val="Default"/>
                          <w:numPr>
                            <w:ilvl w:val="0"/>
                            <w:numId w:val="12"/>
                          </w:numPr>
                          <w:rPr>
                            <w:sz w:val="22"/>
                            <w:szCs w:val="22"/>
                          </w:rPr>
                        </w:pPr>
                        <w:r>
                          <w:rPr>
                            <w:sz w:val="22"/>
                            <w:szCs w:val="22"/>
                          </w:rPr>
                          <w:t xml:space="preserve">In the event of an appeal the chairperson will approach the trustees for an appeal meeting and the PLA will also give independent advice. This will take place within 3 months of the written appeal by the employee. The secretary will attend to record the proceedings. </w:t>
                        </w:r>
                      </w:p>
                      <w:p w:rsidR="00AC76A8" w:rsidRDefault="00AC76A8" w:rsidP="00AC76A8">
                        <w:pPr>
                          <w:pStyle w:val="Default"/>
                          <w:rPr>
                            <w:sz w:val="22"/>
                            <w:szCs w:val="22"/>
                          </w:rPr>
                        </w:pPr>
                      </w:p>
                      <w:p w:rsidR="00AC76A8" w:rsidRPr="00AC76A8" w:rsidRDefault="00AC76A8" w:rsidP="00AC76A8">
                        <w:pPr>
                          <w:pStyle w:val="Default"/>
                          <w:numPr>
                            <w:ilvl w:val="0"/>
                            <w:numId w:val="12"/>
                          </w:numPr>
                          <w:rPr>
                            <w:sz w:val="22"/>
                            <w:szCs w:val="22"/>
                          </w:rPr>
                        </w:pPr>
                        <w:r>
                          <w:rPr>
                            <w:sz w:val="22"/>
                            <w:szCs w:val="22"/>
                          </w:rPr>
                          <w:t xml:space="preserve">The employee will receive a written response from the appeal within 14 days. </w:t>
                        </w:r>
                      </w:p>
                    </w:tc>
                  </w:tr>
                </w:tbl>
                <w:p w:rsidR="00AC76A8" w:rsidRPr="00AC76A8" w:rsidRDefault="00AC76A8" w:rsidP="00AC76A8">
                  <w:pPr>
                    <w:pStyle w:val="Default"/>
                    <w:rPr>
                      <w:sz w:val="22"/>
                      <w:szCs w:val="22"/>
                    </w:rPr>
                  </w:pPr>
                </w:p>
                <w:p w:rsidR="00AC76A8" w:rsidRDefault="00AC76A8">
                  <w:pPr>
                    <w:pStyle w:val="Default"/>
                    <w:rPr>
                      <w:sz w:val="22"/>
                      <w:szCs w:val="22"/>
                    </w:rPr>
                  </w:pPr>
                </w:p>
              </w:tc>
            </w:tr>
          </w:tbl>
          <w:p w:rsidR="0025101B" w:rsidRDefault="0025101B" w:rsidP="0025101B">
            <w:pPr>
              <w:tabs>
                <w:tab w:val="left" w:pos="372"/>
              </w:tabs>
              <w:spacing w:after="60"/>
            </w:pPr>
          </w:p>
          <w:p w:rsidR="0025101B" w:rsidRPr="0025101B" w:rsidRDefault="0025101B" w:rsidP="0025101B">
            <w:pPr>
              <w:tabs>
                <w:tab w:val="left" w:pos="372"/>
              </w:tabs>
              <w:spacing w:after="60"/>
            </w:pPr>
          </w:p>
          <w:p w:rsidR="003D5394" w:rsidRPr="00732046" w:rsidRDefault="003D5394" w:rsidP="00673F6C">
            <w:pPr>
              <w:tabs>
                <w:tab w:val="left" w:pos="372"/>
              </w:tabs>
            </w:pPr>
          </w:p>
        </w:tc>
      </w:tr>
      <w:tr w:rsidR="003D5394" w:rsidRPr="00732046">
        <w:trPr>
          <w:trHeight w:val="390"/>
        </w:trPr>
        <w:tc>
          <w:tcPr>
            <w:tcW w:w="2700" w:type="dxa"/>
            <w:tcBorders>
              <w:bottom w:val="single" w:sz="4" w:space="0" w:color="auto"/>
            </w:tcBorders>
          </w:tcPr>
          <w:p w:rsidR="003D5394" w:rsidRPr="00732046" w:rsidRDefault="003D5394" w:rsidP="002D64BF">
            <w:r w:rsidRPr="00732046">
              <w:rPr>
                <w:sz w:val="22"/>
                <w:szCs w:val="22"/>
              </w:rPr>
              <w:lastRenderedPageBreak/>
              <w:t>Useful websites</w:t>
            </w:r>
          </w:p>
        </w:tc>
        <w:tc>
          <w:tcPr>
            <w:tcW w:w="7020" w:type="dxa"/>
            <w:tcBorders>
              <w:bottom w:val="single" w:sz="4" w:space="0" w:color="auto"/>
            </w:tcBorders>
          </w:tcPr>
          <w:p w:rsidR="0025101B" w:rsidRPr="0025101B" w:rsidRDefault="00E63A79" w:rsidP="00AC76A8">
            <w:hyperlink r:id="rId5" w:history="1">
              <w:r w:rsidR="00AC76A8">
                <w:rPr>
                  <w:rStyle w:val="Hyperlink"/>
                  <w:sz w:val="22"/>
                  <w:szCs w:val="22"/>
                </w:rPr>
                <w:t>www.acas.org.uk</w:t>
              </w:r>
            </w:hyperlink>
            <w:r w:rsidR="00AC76A8">
              <w:t xml:space="preserve">    </w:t>
            </w:r>
            <w:hyperlink r:id="rId6" w:history="1">
              <w:r w:rsidR="00AC76A8" w:rsidRPr="005340A4">
                <w:rPr>
                  <w:rStyle w:val="Hyperlink"/>
                </w:rPr>
                <w:t>www.pre-school.org.uk</w:t>
              </w:r>
            </w:hyperlink>
            <w:r w:rsidR="00AC76A8">
              <w:t xml:space="preserve">    </w:t>
            </w:r>
            <w:hyperlink r:id="rId7" w:history="1">
              <w:r w:rsidR="00AC76A8" w:rsidRPr="005340A4">
                <w:rPr>
                  <w:rStyle w:val="Hyperlink"/>
                </w:rPr>
                <w:t>www.ofsted.gov.uk</w:t>
              </w:r>
            </w:hyperlink>
            <w:r w:rsidR="00AC76A8">
              <w:t xml:space="preserve"> </w:t>
            </w:r>
            <w:r w:rsidR="0025101B">
              <w:rPr>
                <w:sz w:val="22"/>
                <w:szCs w:val="22"/>
              </w:rPr>
              <w:t xml:space="preserve"> </w:t>
            </w:r>
          </w:p>
        </w:tc>
      </w:tr>
      <w:tr w:rsidR="003D5394" w:rsidRPr="00732046">
        <w:trPr>
          <w:trHeight w:val="318"/>
        </w:trPr>
        <w:tc>
          <w:tcPr>
            <w:tcW w:w="2700" w:type="dxa"/>
            <w:tcBorders>
              <w:top w:val="single" w:sz="4" w:space="0" w:color="auto"/>
            </w:tcBorders>
          </w:tcPr>
          <w:p w:rsidR="003D5394" w:rsidRPr="00732046" w:rsidRDefault="003D5394" w:rsidP="002D64BF">
            <w:r w:rsidRPr="00732046">
              <w:rPr>
                <w:sz w:val="22"/>
                <w:szCs w:val="22"/>
              </w:rPr>
              <w:t>References to other relevant policies:</w:t>
            </w:r>
          </w:p>
        </w:tc>
        <w:tc>
          <w:tcPr>
            <w:tcW w:w="7020" w:type="dxa"/>
            <w:tcBorders>
              <w:top w:val="single" w:sz="4" w:space="0" w:color="auto"/>
            </w:tcBorders>
          </w:tcPr>
          <w:p w:rsidR="003D5394" w:rsidRPr="0025101B" w:rsidRDefault="00AC76A8" w:rsidP="002D64BF">
            <w:r>
              <w:rPr>
                <w:sz w:val="22"/>
                <w:szCs w:val="22"/>
              </w:rPr>
              <w:t xml:space="preserve">Equal Opportunities </w:t>
            </w:r>
          </w:p>
          <w:p w:rsidR="0025101B" w:rsidRPr="00732046" w:rsidRDefault="00AC76A8" w:rsidP="002D64BF">
            <w:r>
              <w:rPr>
                <w:sz w:val="22"/>
                <w:szCs w:val="22"/>
              </w:rPr>
              <w:t>Disciplinary Procedure</w:t>
            </w:r>
          </w:p>
        </w:tc>
      </w:tr>
      <w:tr w:rsidR="003D5394" w:rsidRPr="00732046">
        <w:trPr>
          <w:trHeight w:val="318"/>
        </w:trPr>
        <w:tc>
          <w:tcPr>
            <w:tcW w:w="2700" w:type="dxa"/>
          </w:tcPr>
          <w:p w:rsidR="003D5394" w:rsidRPr="00732046" w:rsidRDefault="003D5394" w:rsidP="002D64BF">
            <w:r w:rsidRPr="00732046">
              <w:rPr>
                <w:sz w:val="22"/>
                <w:szCs w:val="22"/>
              </w:rPr>
              <w:t>Policy Monitoring and Evaluation Information:</w:t>
            </w:r>
          </w:p>
        </w:tc>
        <w:tc>
          <w:tcPr>
            <w:tcW w:w="7020" w:type="dxa"/>
          </w:tcPr>
          <w:p w:rsidR="003D5394" w:rsidRPr="00732046" w:rsidRDefault="003D5394" w:rsidP="002D64BF">
            <w:r w:rsidRPr="00732046">
              <w:rPr>
                <w:sz w:val="22"/>
                <w:szCs w:val="22"/>
              </w:rPr>
              <w:t>Staff and Chairperson</w:t>
            </w:r>
          </w:p>
        </w:tc>
      </w:tr>
      <w:tr w:rsidR="003D5394" w:rsidRPr="00732046">
        <w:trPr>
          <w:trHeight w:val="318"/>
        </w:trPr>
        <w:tc>
          <w:tcPr>
            <w:tcW w:w="2700" w:type="dxa"/>
          </w:tcPr>
          <w:p w:rsidR="003D5394" w:rsidRPr="00732046" w:rsidRDefault="003D5394" w:rsidP="002D64BF">
            <w:r w:rsidRPr="00732046">
              <w:rPr>
                <w:sz w:val="22"/>
                <w:szCs w:val="22"/>
              </w:rPr>
              <w:t>Signature</w:t>
            </w:r>
          </w:p>
        </w:tc>
        <w:tc>
          <w:tcPr>
            <w:tcW w:w="7020" w:type="dxa"/>
          </w:tcPr>
          <w:p w:rsidR="003D5394" w:rsidRPr="00732046" w:rsidRDefault="00673F6C" w:rsidP="002D64BF">
            <w:r>
              <w:t>R Lily</w:t>
            </w:r>
          </w:p>
        </w:tc>
      </w:tr>
      <w:tr w:rsidR="003D5394" w:rsidRPr="00732046">
        <w:trPr>
          <w:trHeight w:val="318"/>
        </w:trPr>
        <w:tc>
          <w:tcPr>
            <w:tcW w:w="9720" w:type="dxa"/>
            <w:gridSpan w:val="2"/>
          </w:tcPr>
          <w:p w:rsidR="003D5394" w:rsidRPr="00732046" w:rsidRDefault="003D5394" w:rsidP="00673F6C">
            <w:r w:rsidRPr="00732046">
              <w:rPr>
                <w:sz w:val="22"/>
                <w:szCs w:val="22"/>
              </w:rPr>
              <w:t xml:space="preserve">Review Date and next review due date: </w:t>
            </w:r>
            <w:bookmarkStart w:id="0" w:name="_GoBack"/>
            <w:bookmarkEnd w:id="0"/>
            <w:r w:rsidR="00673F6C">
              <w:rPr>
                <w:sz w:val="22"/>
                <w:szCs w:val="22"/>
              </w:rPr>
              <w:t>Reviewed April 15, next review April 16</w:t>
            </w:r>
          </w:p>
        </w:tc>
      </w:tr>
    </w:tbl>
    <w:p w:rsidR="003D5394" w:rsidRPr="00814384" w:rsidRDefault="003D5394" w:rsidP="003D5394">
      <w:pPr>
        <w:rPr>
          <w:sz w:val="22"/>
          <w:szCs w:val="22"/>
        </w:rPr>
      </w:pPr>
    </w:p>
    <w:p w:rsidR="003D5394" w:rsidRPr="00814384" w:rsidRDefault="003D5394" w:rsidP="003D5394">
      <w:pPr>
        <w:rPr>
          <w:sz w:val="22"/>
          <w:szCs w:val="22"/>
        </w:rPr>
      </w:pPr>
    </w:p>
    <w:p w:rsidR="00F86982" w:rsidRDefault="00F86982"/>
    <w:sectPr w:rsidR="00F86982"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3853"/>
    <w:multiLevelType w:val="hybridMultilevel"/>
    <w:tmpl w:val="A9D4A7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A4540D1"/>
    <w:multiLevelType w:val="hybridMultilevel"/>
    <w:tmpl w:val="86F8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9B1E2B"/>
    <w:multiLevelType w:val="hybridMultilevel"/>
    <w:tmpl w:val="B78CF6CE"/>
    <w:lvl w:ilvl="0" w:tplc="00ECC406">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E929E0"/>
    <w:multiLevelType w:val="hybridMultilevel"/>
    <w:tmpl w:val="5AAAB54C"/>
    <w:lvl w:ilvl="0" w:tplc="00ECC406">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C45E22"/>
    <w:multiLevelType w:val="hybridMultilevel"/>
    <w:tmpl w:val="0688C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781446"/>
    <w:multiLevelType w:val="hybridMultilevel"/>
    <w:tmpl w:val="F436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272AE3"/>
    <w:multiLevelType w:val="hybridMultilevel"/>
    <w:tmpl w:val="03BE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B22729"/>
    <w:multiLevelType w:val="hybridMultilevel"/>
    <w:tmpl w:val="FD94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0753EE"/>
    <w:multiLevelType w:val="hybridMultilevel"/>
    <w:tmpl w:val="516C0FE2"/>
    <w:lvl w:ilvl="0" w:tplc="00ECC406">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0D2E4D"/>
    <w:multiLevelType w:val="hybridMultilevel"/>
    <w:tmpl w:val="E14C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B07056"/>
    <w:multiLevelType w:val="hybridMultilevel"/>
    <w:tmpl w:val="B636EB40"/>
    <w:lvl w:ilvl="0" w:tplc="00ECC406">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977D3D"/>
    <w:multiLevelType w:val="hybridMultilevel"/>
    <w:tmpl w:val="9684D69A"/>
    <w:lvl w:ilvl="0" w:tplc="08090001">
      <w:start w:val="1"/>
      <w:numFmt w:val="bullet"/>
      <w:lvlText w:val=""/>
      <w:lvlJc w:val="left"/>
      <w:pPr>
        <w:ind w:left="720" w:hanging="360"/>
      </w:pPr>
      <w:rPr>
        <w:rFonts w:ascii="Symbol" w:hAnsi="Symbo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9"/>
  </w:num>
  <w:num w:numId="5">
    <w:abstractNumId w:val="7"/>
  </w:num>
  <w:num w:numId="6">
    <w:abstractNumId w:val="6"/>
  </w:num>
  <w:num w:numId="7">
    <w:abstractNumId w:val="2"/>
  </w:num>
  <w:num w:numId="8">
    <w:abstractNumId w:val="10"/>
  </w:num>
  <w:num w:numId="9">
    <w:abstractNumId w:val="8"/>
  </w:num>
  <w:num w:numId="10">
    <w:abstractNumId w:val="3"/>
  </w:num>
  <w:num w:numId="11">
    <w:abstractNumId w:val="4"/>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D5394"/>
    <w:rsid w:val="000326C7"/>
    <w:rsid w:val="002264AB"/>
    <w:rsid w:val="0025101B"/>
    <w:rsid w:val="003B41EE"/>
    <w:rsid w:val="003D5394"/>
    <w:rsid w:val="00461A89"/>
    <w:rsid w:val="0059170C"/>
    <w:rsid w:val="00673F6C"/>
    <w:rsid w:val="00AC76A8"/>
    <w:rsid w:val="00C5527B"/>
    <w:rsid w:val="00D65640"/>
    <w:rsid w:val="00D9272F"/>
    <w:rsid w:val="00E6289B"/>
    <w:rsid w:val="00E63A79"/>
    <w:rsid w:val="00F45D80"/>
    <w:rsid w:val="00F673BC"/>
    <w:rsid w:val="00F86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9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5394"/>
    <w:rPr>
      <w:color w:val="0000FF"/>
      <w:u w:val="single"/>
    </w:rPr>
  </w:style>
  <w:style w:type="paragraph" w:styleId="ListParagraph">
    <w:name w:val="List Paragraph"/>
    <w:basedOn w:val="Normal"/>
    <w:uiPriority w:val="34"/>
    <w:qFormat/>
    <w:rsid w:val="00673F6C"/>
    <w:pPr>
      <w:ind w:left="720"/>
      <w:contextualSpacing/>
    </w:pPr>
  </w:style>
  <w:style w:type="paragraph" w:customStyle="1" w:styleId="Default">
    <w:name w:val="Default"/>
    <w:rsid w:val="00AC76A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chool.org.uk" TargetMode="External"/><Relationship Id="rId5" Type="http://schemas.openxmlformats.org/officeDocument/2006/relationships/hyperlink" Target="http://www.careinthesun.org/young-people/early-year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439</Words>
  <Characters>2507</Characters>
  <Application>Microsoft Office Word</Application>
  <DocSecurity>0</DocSecurity>
  <Lines>20</Lines>
  <Paragraphs>5</Paragraphs>
  <ScaleCrop>false</ScaleCrop>
  <Company>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SuzanneIbson</dc:creator>
  <cp:keywords/>
  <dc:description/>
  <cp:lastModifiedBy>Suzi</cp:lastModifiedBy>
  <cp:revision>5</cp:revision>
  <dcterms:created xsi:type="dcterms:W3CDTF">2015-03-25T08:14:00Z</dcterms:created>
  <dcterms:modified xsi:type="dcterms:W3CDTF">2015-03-25T10:50:00Z</dcterms:modified>
</cp:coreProperties>
</file>