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94" w:rsidRPr="00814384" w:rsidRDefault="003D5394" w:rsidP="003D5394">
      <w:pPr>
        <w:jc w:val="both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020"/>
      </w:tblGrid>
      <w:tr w:rsidR="003D5394" w:rsidRPr="00732046">
        <w:trPr>
          <w:trHeight w:val="326"/>
        </w:trPr>
        <w:tc>
          <w:tcPr>
            <w:tcW w:w="2700" w:type="dxa"/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Name of Policy:</w:t>
            </w:r>
          </w:p>
        </w:tc>
        <w:tc>
          <w:tcPr>
            <w:tcW w:w="7020" w:type="dxa"/>
          </w:tcPr>
          <w:p w:rsidR="003D5394" w:rsidRPr="00732046" w:rsidRDefault="008600E3" w:rsidP="002D64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Special Educational Needs Policy</w:t>
            </w:r>
          </w:p>
        </w:tc>
      </w:tr>
      <w:tr w:rsidR="003D5394" w:rsidRPr="00732046">
        <w:trPr>
          <w:trHeight w:val="318"/>
        </w:trPr>
        <w:tc>
          <w:tcPr>
            <w:tcW w:w="2700" w:type="dxa"/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Name of Setting:</w:t>
            </w:r>
          </w:p>
        </w:tc>
        <w:tc>
          <w:tcPr>
            <w:tcW w:w="7020" w:type="dxa"/>
          </w:tcPr>
          <w:p w:rsidR="003D5394" w:rsidRPr="00732046" w:rsidRDefault="00461A89" w:rsidP="002D64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Busy Bees Pre-School</w:t>
            </w:r>
          </w:p>
        </w:tc>
      </w:tr>
      <w:tr w:rsidR="003D5394" w:rsidRPr="00732046">
        <w:trPr>
          <w:trHeight w:val="318"/>
        </w:trPr>
        <w:tc>
          <w:tcPr>
            <w:tcW w:w="2700" w:type="dxa"/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Overall Aim of Statement:</w:t>
            </w:r>
          </w:p>
        </w:tc>
        <w:tc>
          <w:tcPr>
            <w:tcW w:w="7020" w:type="dxa"/>
          </w:tcPr>
          <w:p w:rsidR="008600E3" w:rsidRDefault="008600E3" w:rsidP="008600E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04"/>
            </w:tblGrid>
            <w:tr w:rsidR="008600E3">
              <w:tblPrEx>
                <w:tblCellMar>
                  <w:top w:w="0" w:type="dxa"/>
                  <w:bottom w:w="0" w:type="dxa"/>
                </w:tblCellMar>
              </w:tblPrEx>
              <w:trPr>
                <w:trHeight w:val="231"/>
              </w:trPr>
              <w:tc>
                <w:tcPr>
                  <w:tcW w:w="0" w:type="auto"/>
                </w:tcPr>
                <w:p w:rsidR="008600E3" w:rsidRDefault="008600E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Busy Bees will provide appropriate learning opportunities for all children. </w:t>
                  </w:r>
                </w:p>
                <w:p w:rsidR="008600E3" w:rsidRDefault="008600E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5394" w:rsidRPr="00732046" w:rsidRDefault="003D5394" w:rsidP="002D64BF"/>
        </w:tc>
      </w:tr>
      <w:tr w:rsidR="003D5394" w:rsidRPr="00732046">
        <w:trPr>
          <w:trHeight w:val="7185"/>
        </w:trPr>
        <w:tc>
          <w:tcPr>
            <w:tcW w:w="2700" w:type="dxa"/>
            <w:tcBorders>
              <w:bottom w:val="single" w:sz="4" w:space="0" w:color="auto"/>
            </w:tcBorders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Specific Objectives/ Statements and Procedures for how you will achieve each one:</w:t>
            </w:r>
          </w:p>
          <w:p w:rsidR="003D5394" w:rsidRPr="00732046" w:rsidRDefault="003D5394" w:rsidP="002D64BF"/>
        </w:tc>
        <w:tc>
          <w:tcPr>
            <w:tcW w:w="7020" w:type="dxa"/>
            <w:tcBorders>
              <w:bottom w:val="single" w:sz="4" w:space="0" w:color="auto"/>
            </w:tcBorders>
          </w:tcPr>
          <w:p w:rsidR="008600E3" w:rsidRDefault="008600E3" w:rsidP="008600E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04"/>
            </w:tblGrid>
            <w:tr w:rsidR="008600E3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0" w:type="auto"/>
                </w:tcPr>
                <w:p w:rsidR="008600E3" w:rsidRDefault="008600E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1. Special Educational Needs Co-ordinator (SENCO) </w:t>
                  </w:r>
                </w:p>
                <w:p w:rsidR="008600E3" w:rsidRDefault="008600E3" w:rsidP="008600E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Gail </w:t>
                  </w:r>
                  <w:proofErr w:type="spellStart"/>
                  <w:r>
                    <w:rPr>
                      <w:sz w:val="22"/>
                      <w:szCs w:val="22"/>
                    </w:rPr>
                    <w:t>Callard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is our SENCO representative. </w:t>
                  </w:r>
                </w:p>
                <w:p w:rsidR="008600E3" w:rsidRDefault="008600E3" w:rsidP="008600E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SENCO’s role is to liaise with staff, parents and other professionals in respect of children with Special Educational needs. </w:t>
                  </w:r>
                </w:p>
                <w:p w:rsidR="008600E3" w:rsidRDefault="008600E3" w:rsidP="008600E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She will also ensure that Individual Education and Health Care Plans (EHC) are in place </w:t>
                  </w:r>
                </w:p>
                <w:p w:rsidR="008600E3" w:rsidRPr="008600E3" w:rsidRDefault="008600E3" w:rsidP="008600E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SENCO will attend any necessary courses/workshops and keep staff up to date with current practices.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6588"/>
                  </w:tblGrid>
                  <w:tr w:rsidR="008600E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58"/>
                    </w:trPr>
                    <w:tc>
                      <w:tcPr>
                        <w:tcW w:w="0" w:type="auto"/>
                      </w:tcPr>
                      <w:p w:rsidR="008600E3" w:rsidRDefault="008600E3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8600E3" w:rsidRDefault="008600E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2. Specialist Facilities and staffing </w:t>
                        </w:r>
                      </w:p>
                      <w:p w:rsidR="008600E3" w:rsidRDefault="008600E3" w:rsidP="008600E3">
                        <w:pPr>
                          <w:pStyle w:val="Default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Our learning environment provides every opportunity for all children to be included in the setting as a whole. Our high child/adult ratio ensures that each child receives plenty of adult time and attention. If it is felt that a child’s needs cannot be met in the setting without support of a one to one worker then funding will be sought to employ one. </w:t>
                        </w:r>
                      </w:p>
                      <w:p w:rsidR="008600E3" w:rsidRPr="008600E3" w:rsidRDefault="008600E3" w:rsidP="008600E3">
                        <w:pPr>
                          <w:pStyle w:val="Default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The building has an accessible toilet and ramp access to the entrance.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6372"/>
                        </w:tblGrid>
                        <w:tr w:rsidR="008600E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78"/>
                          </w:trPr>
                          <w:tc>
                            <w:tcPr>
                              <w:tcW w:w="0" w:type="auto"/>
                            </w:tcPr>
                            <w:p w:rsidR="008600E3" w:rsidRDefault="008600E3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8600E3" w:rsidRDefault="008600E3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3. Admissions </w:t>
                              </w:r>
                            </w:p>
                            <w:p w:rsidR="008600E3" w:rsidRDefault="008600E3" w:rsidP="008600E3">
                              <w:pPr>
                                <w:pStyle w:val="Defaul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The admissions arrangements are that children with special educational needs, like all children, are admitted after consultation between parents and the pre-school. Any information given will be kept confidential. </w:t>
                              </w:r>
                            </w:p>
                            <w:p w:rsidR="008600E3" w:rsidRDefault="008600E3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600E3" w:rsidRDefault="008600E3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4. Resources </w:t>
                              </w:r>
                            </w:p>
                            <w:p w:rsidR="008600E3" w:rsidRPr="008600E3" w:rsidRDefault="008600E3" w:rsidP="008600E3">
                              <w:pPr>
                                <w:pStyle w:val="Defaul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No child will be excluded from any activity and resources will be provided for any specific items needed.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/>
                              </w:tblPr>
                              <w:tblGrid>
                                <w:gridCol w:w="6156"/>
                              </w:tblGrid>
                              <w:tr w:rsidR="008600E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1557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8600E3" w:rsidRDefault="008600E3">
                                    <w:pPr>
                                      <w:pStyle w:val="Default"/>
                                      <w:rPr>
                                        <w:color w:val="auto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</w:p>
                                  <w:p w:rsidR="008600E3" w:rsidRDefault="008600E3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5. Identification and Assessment of children with SEN. </w:t>
                                    </w: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We have adopted the SEND code of practice on the Identification and Assessment of Special Educational Needs. </w:t>
                                    </w: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The appointed SENCO talks to parents seeks professional help and collects information about the child and may write an Individual Education Plan (IEP)</w:t>
                                    </w:r>
                                    <w:r w:rsidR="00716025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if there is an identified need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. IEPs are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 xml:space="preserve">discussed with parents and staff. They are implemented in the group; reviewed by staff and discussed with parents. </w:t>
                                    </w:r>
                                  </w:p>
                                  <w:p w:rsidR="008600E3" w:rsidRPr="008600E3" w:rsidRDefault="008600E3" w:rsidP="008600E3">
                                    <w:pPr>
                                      <w:pStyle w:val="Default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The appointed SENCO will attend </w:t>
                                    </w:r>
                                    <w:r w:rsidRPr="008600E3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meetings with professionals, parents and teachers to prepare for the child’s entry to school. </w:t>
                                    </w: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The child is supported in a group by an outside agency e.g. Autism Support </w:t>
                                    </w: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rPr>
                                        <w:color w:val="auto"/>
                                      </w:rPr>
                                    </w:pP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6. Early Years Foundation Stage </w:t>
                                    </w: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We plan our Early Years Foundation Stage to include children with SEN. All children follow the same curriculum and Special Needs children may </w:t>
                                    </w:r>
                                    <w:r w:rsidR="00716025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also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have </w:t>
                                    </w:r>
                                    <w:r w:rsidR="00716025">
                                      <w:rPr>
                                        <w:sz w:val="22"/>
                                        <w:szCs w:val="22"/>
                                      </w:rPr>
                                      <w:t>their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In</w:t>
                                    </w:r>
                                    <w:r w:rsidR="00716025">
                                      <w:rPr>
                                        <w:sz w:val="22"/>
                                        <w:szCs w:val="22"/>
                                      </w:rPr>
                                      <w:t>dividual Educational Plan (IEP).</w:t>
                                    </w: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7. Monitoring and Evaluation </w:t>
                                    </w: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We monitor and evaluate our SEN policy at regular staff meetings. Policies are reviewed annually by staff and committee. </w:t>
                                    </w: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8. Complaints </w:t>
                                    </w: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Any complaints about our SEN provision would be dealt with in confidence by the staff in the first instance. If this does not have a satisfactory outcome then parents will be asked to make a complaint in writing to the committee. </w:t>
                                    </w: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9. Partnerships with other professionals and agencies </w:t>
                                    </w:r>
                                  </w:p>
                                  <w:p w:rsidR="008600E3" w:rsidRDefault="008600E3" w:rsidP="008600E3">
                                    <w:pPr>
                                      <w:pStyle w:val="Default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Every effort will be made to ensure a close working relationship is maintained with all parents and carers. Links with other support services and other agencies will be made if and when necessary. </w:t>
                                    </w:r>
                                  </w:p>
                                  <w:p w:rsidR="008600E3" w:rsidRPr="008600E3" w:rsidRDefault="008600E3" w:rsidP="008600E3">
                                    <w:pPr>
                                      <w:pStyle w:val="Default"/>
                                      <w:ind w:left="72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600E3" w:rsidRDefault="008600E3">
                                    <w:pPr>
                                      <w:pStyle w:val="Defaul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00E3" w:rsidRDefault="008600E3" w:rsidP="008600E3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600E3" w:rsidRDefault="008600E3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8600E3" w:rsidRDefault="008600E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600E3" w:rsidRDefault="008600E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5394" w:rsidRPr="00732046" w:rsidRDefault="003D5394" w:rsidP="00673F6C">
            <w:pPr>
              <w:tabs>
                <w:tab w:val="left" w:pos="372"/>
              </w:tabs>
            </w:pPr>
          </w:p>
        </w:tc>
      </w:tr>
      <w:tr w:rsidR="003D5394" w:rsidRPr="00732046">
        <w:trPr>
          <w:trHeight w:val="390"/>
        </w:trPr>
        <w:tc>
          <w:tcPr>
            <w:tcW w:w="2700" w:type="dxa"/>
            <w:tcBorders>
              <w:bottom w:val="single" w:sz="4" w:space="0" w:color="auto"/>
            </w:tcBorders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lastRenderedPageBreak/>
              <w:t>Useful websites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3D5394" w:rsidRPr="00732046" w:rsidRDefault="00716025" w:rsidP="00716025">
            <w:hyperlink r:id="rId5" w:history="1">
              <w:r w:rsidRPr="00A74F43">
                <w:rPr>
                  <w:rStyle w:val="Hyperlink"/>
                  <w:sz w:val="22"/>
                  <w:szCs w:val="22"/>
                </w:rPr>
                <w:t>www.everychildmatters.gov.uk</w:t>
              </w:r>
            </w:hyperlink>
            <w:r w:rsidR="003D5394" w:rsidRPr="00732046">
              <w:rPr>
                <w:sz w:val="22"/>
                <w:szCs w:val="22"/>
              </w:rPr>
              <w:t xml:space="preserve">   </w:t>
            </w:r>
            <w:hyperlink r:id="rId6" w:history="1">
              <w:r w:rsidRPr="00A74F43">
                <w:rPr>
                  <w:rStyle w:val="Hyperlink"/>
                  <w:sz w:val="22"/>
                  <w:szCs w:val="22"/>
                </w:rPr>
                <w:t>www.ofsted.gov.uk</w:t>
              </w:r>
            </w:hyperlink>
            <w:r w:rsidR="003D5394" w:rsidRPr="00732046">
              <w:rPr>
                <w:sz w:val="22"/>
                <w:szCs w:val="22"/>
              </w:rPr>
              <w:t xml:space="preserve">   </w:t>
            </w:r>
            <w:hyperlink r:id="rId7" w:history="1">
              <w:r w:rsidRPr="00A74F43">
                <w:rPr>
                  <w:rStyle w:val="Hyperlink"/>
                  <w:sz w:val="22"/>
                  <w:szCs w:val="22"/>
                </w:rPr>
                <w:t>www.teachernet.gov.uk</w:t>
              </w:r>
            </w:hyperlink>
            <w:r w:rsidR="003D5394" w:rsidRPr="00732046">
              <w:rPr>
                <w:sz w:val="22"/>
                <w:szCs w:val="22"/>
              </w:rPr>
              <w:t xml:space="preserve">  </w:t>
            </w:r>
          </w:p>
        </w:tc>
      </w:tr>
      <w:tr w:rsidR="003D5394" w:rsidRPr="00732046">
        <w:trPr>
          <w:trHeight w:val="318"/>
        </w:trPr>
        <w:tc>
          <w:tcPr>
            <w:tcW w:w="2700" w:type="dxa"/>
            <w:tcBorders>
              <w:top w:val="single" w:sz="4" w:space="0" w:color="auto"/>
            </w:tcBorders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References to other relevant policies: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3D5394" w:rsidRDefault="00716025" w:rsidP="002D64BF">
            <w:r>
              <w:t>Admissions</w:t>
            </w:r>
            <w:r w:rsidR="003F352D">
              <w:t>, Equal Opportunities</w:t>
            </w:r>
          </w:p>
          <w:p w:rsidR="00716025" w:rsidRDefault="00716025" w:rsidP="002D64BF">
            <w:r>
              <w:t xml:space="preserve">Links to </w:t>
            </w:r>
            <w:r w:rsidR="003F352D">
              <w:t>our Local Offer and the SEND Code of Practice Jan 2015</w:t>
            </w:r>
          </w:p>
          <w:p w:rsidR="00716025" w:rsidRPr="00732046" w:rsidRDefault="00716025" w:rsidP="002D64BF">
            <w:r>
              <w:t>Complaints</w:t>
            </w:r>
          </w:p>
        </w:tc>
      </w:tr>
      <w:tr w:rsidR="003D5394" w:rsidRPr="00732046">
        <w:trPr>
          <w:trHeight w:val="318"/>
        </w:trPr>
        <w:tc>
          <w:tcPr>
            <w:tcW w:w="2700" w:type="dxa"/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Policy Monitoring and Evaluation Information:</w:t>
            </w:r>
          </w:p>
        </w:tc>
        <w:tc>
          <w:tcPr>
            <w:tcW w:w="7020" w:type="dxa"/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Staff and Chairperson</w:t>
            </w:r>
          </w:p>
        </w:tc>
      </w:tr>
      <w:tr w:rsidR="003D5394" w:rsidRPr="00732046">
        <w:trPr>
          <w:trHeight w:val="318"/>
        </w:trPr>
        <w:tc>
          <w:tcPr>
            <w:tcW w:w="2700" w:type="dxa"/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Signature</w:t>
            </w:r>
          </w:p>
        </w:tc>
        <w:tc>
          <w:tcPr>
            <w:tcW w:w="7020" w:type="dxa"/>
          </w:tcPr>
          <w:p w:rsidR="003D5394" w:rsidRPr="00732046" w:rsidRDefault="00673F6C" w:rsidP="002D64BF">
            <w:r>
              <w:t>R Lily</w:t>
            </w:r>
          </w:p>
        </w:tc>
      </w:tr>
      <w:tr w:rsidR="003D5394" w:rsidRPr="00732046">
        <w:trPr>
          <w:trHeight w:val="318"/>
        </w:trPr>
        <w:tc>
          <w:tcPr>
            <w:tcW w:w="9720" w:type="dxa"/>
            <w:gridSpan w:val="2"/>
          </w:tcPr>
          <w:p w:rsidR="003D5394" w:rsidRPr="00732046" w:rsidRDefault="003D5394" w:rsidP="00673F6C">
            <w:r w:rsidRPr="00732046">
              <w:rPr>
                <w:sz w:val="22"/>
                <w:szCs w:val="22"/>
              </w:rPr>
              <w:t xml:space="preserve">Review Date and next review due date: </w:t>
            </w:r>
            <w:bookmarkStart w:id="0" w:name="_GoBack"/>
            <w:bookmarkEnd w:id="0"/>
            <w:r w:rsidR="00673F6C">
              <w:rPr>
                <w:sz w:val="22"/>
                <w:szCs w:val="22"/>
              </w:rPr>
              <w:t>Reviewed April 15, next review April 16</w:t>
            </w:r>
          </w:p>
        </w:tc>
      </w:tr>
    </w:tbl>
    <w:p w:rsidR="003D5394" w:rsidRPr="00814384" w:rsidRDefault="003D5394" w:rsidP="003D5394">
      <w:pPr>
        <w:rPr>
          <w:sz w:val="22"/>
          <w:szCs w:val="22"/>
        </w:rPr>
      </w:pPr>
    </w:p>
    <w:p w:rsidR="003D5394" w:rsidRPr="00814384" w:rsidRDefault="003D5394" w:rsidP="003D5394">
      <w:pPr>
        <w:rPr>
          <w:sz w:val="22"/>
          <w:szCs w:val="22"/>
        </w:rPr>
      </w:pPr>
    </w:p>
    <w:p w:rsidR="00F86982" w:rsidRDefault="00F86982"/>
    <w:sectPr w:rsidR="00F86982" w:rsidSect="00F8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3FF"/>
    <w:multiLevelType w:val="hybridMultilevel"/>
    <w:tmpl w:val="EF22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E2BBB"/>
    <w:multiLevelType w:val="hybridMultilevel"/>
    <w:tmpl w:val="CAEE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3853"/>
    <w:multiLevelType w:val="hybridMultilevel"/>
    <w:tmpl w:val="A9D4A7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CF27FE"/>
    <w:multiLevelType w:val="hybridMultilevel"/>
    <w:tmpl w:val="CA6C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92551"/>
    <w:multiLevelType w:val="hybridMultilevel"/>
    <w:tmpl w:val="0824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81446"/>
    <w:multiLevelType w:val="hybridMultilevel"/>
    <w:tmpl w:val="F4363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D5394"/>
    <w:rsid w:val="000326C7"/>
    <w:rsid w:val="000C6191"/>
    <w:rsid w:val="002264AB"/>
    <w:rsid w:val="003B41EE"/>
    <w:rsid w:val="003D5394"/>
    <w:rsid w:val="003F352D"/>
    <w:rsid w:val="00461A89"/>
    <w:rsid w:val="0059170C"/>
    <w:rsid w:val="00673F6C"/>
    <w:rsid w:val="00716025"/>
    <w:rsid w:val="008600E3"/>
    <w:rsid w:val="00C5527B"/>
    <w:rsid w:val="00D65640"/>
    <w:rsid w:val="00D9272F"/>
    <w:rsid w:val="00F45D80"/>
    <w:rsid w:val="00F673BC"/>
    <w:rsid w:val="00F8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53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F6C"/>
    <w:pPr>
      <w:ind w:left="720"/>
      <w:contextualSpacing/>
    </w:pPr>
  </w:style>
  <w:style w:type="paragraph" w:customStyle="1" w:styleId="Default">
    <w:name w:val="Default"/>
    <w:rsid w:val="00860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cherne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sted.gov.uk" TargetMode="External"/><Relationship Id="rId5" Type="http://schemas.openxmlformats.org/officeDocument/2006/relationships/hyperlink" Target="http://www.everychildmatters.gov.u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SuzanneIbson</dc:creator>
  <cp:keywords/>
  <dc:description/>
  <cp:lastModifiedBy>Suzi</cp:lastModifiedBy>
  <cp:revision>5</cp:revision>
  <dcterms:created xsi:type="dcterms:W3CDTF">2015-03-25T08:14:00Z</dcterms:created>
  <dcterms:modified xsi:type="dcterms:W3CDTF">2015-03-25T09:48:00Z</dcterms:modified>
</cp:coreProperties>
</file>