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7357BD" w:rsidRPr="00732046">
        <w:trPr>
          <w:trHeight w:val="326"/>
        </w:trPr>
        <w:tc>
          <w:tcPr>
            <w:tcW w:w="2700" w:type="dxa"/>
          </w:tcPr>
          <w:p w:rsidR="007357BD" w:rsidRPr="00732046" w:rsidRDefault="007357BD" w:rsidP="002D64BF">
            <w:bookmarkStart w:id="0" w:name="_GoBack"/>
            <w:bookmarkEnd w:id="0"/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7357BD" w:rsidRPr="00732046" w:rsidRDefault="007357BD" w:rsidP="002D64BF">
            <w:pPr>
              <w:jc w:val="center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Risk Assessment</w:t>
            </w:r>
          </w:p>
        </w:tc>
      </w:tr>
      <w:tr w:rsidR="007357BD" w:rsidRPr="00732046">
        <w:trPr>
          <w:trHeight w:val="318"/>
        </w:trPr>
        <w:tc>
          <w:tcPr>
            <w:tcW w:w="2700" w:type="dxa"/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7357BD" w:rsidRPr="00732046" w:rsidRDefault="00A0024C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Busy Bees Pre School</w:t>
            </w:r>
          </w:p>
        </w:tc>
      </w:tr>
      <w:tr w:rsidR="007357BD" w:rsidRPr="00732046">
        <w:trPr>
          <w:trHeight w:val="318"/>
        </w:trPr>
        <w:tc>
          <w:tcPr>
            <w:tcW w:w="2700" w:type="dxa"/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7357BD" w:rsidRPr="00732046" w:rsidRDefault="007357BD" w:rsidP="002D64BF">
            <w:pPr>
              <w:spacing w:line="360" w:lineRule="auto"/>
              <w:rPr>
                <w:rFonts w:cs="Arial"/>
              </w:rPr>
            </w:pPr>
            <w:r w:rsidRPr="00732046">
              <w:rPr>
                <w:rFonts w:cs="Arial"/>
                <w:sz w:val="22"/>
                <w:szCs w:val="22"/>
              </w:rPr>
              <w:t>This setting believes that the health and safety of children is of paramount importance.  We make our setting a safe and healthy place for children, parents, staff and volunteers by assessing and minimising the hazards and risks to enable the children to thrive in a healthy and safe environment.</w:t>
            </w:r>
          </w:p>
          <w:p w:rsidR="007357BD" w:rsidRPr="00732046" w:rsidRDefault="007357BD" w:rsidP="002D64BF">
            <w:pPr>
              <w:spacing w:line="360" w:lineRule="auto"/>
              <w:rPr>
                <w:rFonts w:cs="Arial"/>
                <w:b/>
              </w:rPr>
            </w:pPr>
          </w:p>
          <w:p w:rsidR="007357BD" w:rsidRPr="00732046" w:rsidRDefault="007357BD" w:rsidP="002454C6">
            <w:pPr>
              <w:spacing w:line="360" w:lineRule="auto"/>
              <w:ind w:left="360"/>
              <w:rPr>
                <w:rFonts w:cs="Arial"/>
              </w:rPr>
            </w:pPr>
          </w:p>
        </w:tc>
      </w:tr>
      <w:tr w:rsidR="007357BD" w:rsidRPr="00732046">
        <w:trPr>
          <w:trHeight w:val="5505"/>
        </w:trPr>
        <w:tc>
          <w:tcPr>
            <w:tcW w:w="2700" w:type="dxa"/>
            <w:tcBorders>
              <w:bottom w:val="single" w:sz="4" w:space="0" w:color="auto"/>
            </w:tcBorders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7357BD" w:rsidRPr="00732046" w:rsidRDefault="007357BD" w:rsidP="002D64BF"/>
        </w:tc>
        <w:tc>
          <w:tcPr>
            <w:tcW w:w="7020" w:type="dxa"/>
            <w:tcBorders>
              <w:bottom w:val="single" w:sz="4" w:space="0" w:color="auto"/>
            </w:tcBorders>
          </w:tcPr>
          <w:p w:rsidR="007357BD" w:rsidRPr="00732046" w:rsidRDefault="007357BD" w:rsidP="007357B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732046">
              <w:rPr>
                <w:rFonts w:ascii="Arial" w:hAnsi="Arial" w:cs="Arial"/>
                <w:sz w:val="22"/>
                <w:szCs w:val="22"/>
              </w:rPr>
              <w:t>Our risk assessment process covers adults and children and includes:</w:t>
            </w:r>
          </w:p>
          <w:p w:rsidR="007357BD" w:rsidRPr="00732046" w:rsidRDefault="007357BD" w:rsidP="007357BD">
            <w:pPr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</w:rPr>
            </w:pPr>
            <w:r w:rsidRPr="00732046">
              <w:rPr>
                <w:rFonts w:cs="Arial"/>
                <w:sz w:val="22"/>
                <w:szCs w:val="22"/>
              </w:rPr>
              <w:t>checking for and noting hazards and risks indoors and outside, and in our premises and for activities;</w:t>
            </w:r>
          </w:p>
          <w:p w:rsidR="007357BD" w:rsidRPr="00732046" w:rsidRDefault="007357BD" w:rsidP="007357BD">
            <w:pPr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</w:rPr>
            </w:pPr>
            <w:r w:rsidRPr="00732046">
              <w:rPr>
                <w:rFonts w:cs="Arial"/>
                <w:sz w:val="22"/>
                <w:szCs w:val="22"/>
              </w:rPr>
              <w:t>assessing the level of risk and who might be affected;</w:t>
            </w:r>
          </w:p>
          <w:p w:rsidR="007357BD" w:rsidRPr="00732046" w:rsidRDefault="007357BD" w:rsidP="007357BD">
            <w:pPr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</w:rPr>
            </w:pPr>
            <w:r w:rsidRPr="00732046">
              <w:rPr>
                <w:rFonts w:cs="Arial"/>
                <w:sz w:val="22"/>
                <w:szCs w:val="22"/>
              </w:rPr>
              <w:t>deciding which areas need attention; and</w:t>
            </w:r>
          </w:p>
          <w:p w:rsidR="007357BD" w:rsidRPr="00CA3592" w:rsidRDefault="00C82B87" w:rsidP="00CA3592">
            <w:pPr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</w:rPr>
            </w:pPr>
            <w:r w:rsidRPr="00732046">
              <w:rPr>
                <w:rFonts w:cs="Arial"/>
                <w:sz w:val="22"/>
                <w:szCs w:val="22"/>
              </w:rPr>
              <w:t>Developing</w:t>
            </w:r>
            <w:r w:rsidR="007357BD" w:rsidRPr="00732046">
              <w:rPr>
                <w:rFonts w:cs="Arial"/>
                <w:sz w:val="22"/>
                <w:szCs w:val="22"/>
              </w:rPr>
              <w:t xml:space="preserve"> an action plan that specifies the action required, the time-scales for action, the person responsible for the action and any funding required.</w:t>
            </w:r>
            <w:r w:rsidR="00CA3592" w:rsidRPr="00CA3592">
              <w:rPr>
                <w:rFonts w:cs="Arial"/>
                <w:sz w:val="22"/>
                <w:szCs w:val="22"/>
              </w:rPr>
              <w:t xml:space="preserve">   </w:t>
            </w:r>
            <w:r w:rsidR="007357BD" w:rsidRPr="00CA3592">
              <w:rPr>
                <w:rFonts w:cs="Arial"/>
                <w:sz w:val="22"/>
                <w:szCs w:val="22"/>
              </w:rPr>
              <w:t>Where more than five staff and volunteers are employed the risk assessment is written and is reviewed regularly.</w:t>
            </w:r>
          </w:p>
          <w:p w:rsidR="007357BD" w:rsidRPr="002454C6" w:rsidRDefault="007357BD" w:rsidP="007357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rFonts w:ascii="Arial" w:hAnsi="Arial" w:cs="Arial"/>
              </w:rPr>
            </w:pPr>
            <w:r w:rsidRPr="00732046">
              <w:rPr>
                <w:rFonts w:ascii="Arial" w:hAnsi="Arial" w:cs="Arial"/>
                <w:sz w:val="22"/>
                <w:szCs w:val="22"/>
              </w:rPr>
              <w:t>We maintain lists of health and safety issues, which are checked daily before the session begins as well as those that are checked on a weekly and termly basis when a full risk assessment is carried out.</w:t>
            </w:r>
          </w:p>
          <w:p w:rsidR="002454C6" w:rsidRDefault="002454C6" w:rsidP="002454C6">
            <w:pPr>
              <w:spacing w:line="360" w:lineRule="auto"/>
              <w:rPr>
                <w:rFonts w:cs="Arial"/>
              </w:rPr>
            </w:pPr>
            <w:r w:rsidRPr="002454C6">
              <w:rPr>
                <w:rFonts w:cs="Arial"/>
                <w:sz w:val="22"/>
                <w:szCs w:val="22"/>
              </w:rPr>
              <w:t xml:space="preserve">Risk assessments </w:t>
            </w:r>
            <w:r>
              <w:rPr>
                <w:rFonts w:cs="Arial"/>
                <w:sz w:val="22"/>
                <w:szCs w:val="22"/>
              </w:rPr>
              <w:t>are recorded in a separate file. Our risk assessment process follows five steps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Identification of risk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Who is at risk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Assessment as to </w:t>
            </w:r>
            <w:proofErr w:type="spellStart"/>
            <w:proofErr w:type="gramStart"/>
            <w:r>
              <w:rPr>
                <w:rFonts w:cs="Arial"/>
              </w:rPr>
              <w:t>he</w:t>
            </w:r>
            <w:proofErr w:type="spellEnd"/>
            <w:proofErr w:type="gramEnd"/>
            <w:r>
              <w:rPr>
                <w:rFonts w:cs="Arial"/>
              </w:rPr>
              <w:t xml:space="preserve"> level of risk as high. Medium, low</w:t>
            </w:r>
          </w:p>
          <w:p w:rsidR="002454C6" w:rsidRPr="002454C6" w:rsidRDefault="002454C6" w:rsidP="002454C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Control measures to reduce/eliminate risk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Monitoring and reviewing </w:t>
            </w:r>
          </w:p>
          <w:p w:rsidR="002454C6" w:rsidRDefault="002454C6" w:rsidP="002454C6">
            <w:pPr>
              <w:spacing w:line="360" w:lineRule="auto"/>
              <w:rPr>
                <w:rFonts w:cs="Arial"/>
              </w:rPr>
            </w:pPr>
          </w:p>
          <w:p w:rsidR="002454C6" w:rsidRDefault="002454C6" w:rsidP="002454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Risk Assessments cover</w:t>
            </w:r>
          </w:p>
          <w:p w:rsidR="002454C6" w:rsidRDefault="002454C6" w:rsidP="002454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Environment e.g.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Security of building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Fire safety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Food safety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Hygiene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Equipment</w:t>
            </w:r>
          </w:p>
          <w:p w:rsidR="002454C6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Emergency procedure</w:t>
            </w:r>
          </w:p>
          <w:p w:rsidR="007357BD" w:rsidRDefault="002454C6" w:rsidP="002454C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Outings</w:t>
            </w:r>
          </w:p>
          <w:p w:rsidR="002454C6" w:rsidRDefault="00CA3592" w:rsidP="002454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If a staff member or volunteer becomes pregnant a risk assessment will be carried out.</w:t>
            </w:r>
          </w:p>
          <w:p w:rsidR="00CA3592" w:rsidRDefault="00CA3592" w:rsidP="002454C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We will </w:t>
            </w:r>
          </w:p>
          <w:p w:rsidR="00CA3592" w:rsidRDefault="00CA3592" w:rsidP="00CA35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Plan regular breaks</w:t>
            </w:r>
          </w:p>
          <w:p w:rsidR="00CA3592" w:rsidRDefault="00CA3592" w:rsidP="00CA35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Provide help with lifting</w:t>
            </w:r>
          </w:p>
          <w:p w:rsidR="00CA3592" w:rsidRDefault="00CA3592" w:rsidP="00CA35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Avoid activities beyond the employees capabilities</w:t>
            </w:r>
          </w:p>
          <w:p w:rsidR="00CA3592" w:rsidRDefault="00CA3592" w:rsidP="00CA3592">
            <w:pPr>
              <w:spacing w:line="360" w:lineRule="auto"/>
              <w:rPr>
                <w:rFonts w:cs="Arial"/>
              </w:rPr>
            </w:pPr>
          </w:p>
          <w:p w:rsidR="00CA3592" w:rsidRDefault="00CA3592" w:rsidP="00CA35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We maintain lists of health and safety issues which are checked daily before the sessions begin as well as those that are checked on a weekly and termly basis when a full risk assessment is carried out.</w:t>
            </w:r>
          </w:p>
          <w:p w:rsidR="00CA3592" w:rsidRPr="00CA3592" w:rsidRDefault="00CA3592" w:rsidP="00CA35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WE provide all staff and parents of a risk assessment for each outing Busy Bees arranges for the children making sure all members of staff and volunteers have received a copy.</w:t>
            </w:r>
          </w:p>
          <w:p w:rsidR="007357BD" w:rsidRPr="00732046" w:rsidRDefault="007357BD" w:rsidP="002D64BF">
            <w:pPr>
              <w:spacing w:after="60"/>
            </w:pPr>
          </w:p>
        </w:tc>
      </w:tr>
      <w:tr w:rsidR="007357BD" w:rsidRPr="00732046">
        <w:trPr>
          <w:trHeight w:val="495"/>
        </w:trPr>
        <w:tc>
          <w:tcPr>
            <w:tcW w:w="2700" w:type="dxa"/>
            <w:tcBorders>
              <w:bottom w:val="single" w:sz="4" w:space="0" w:color="auto"/>
            </w:tcBorders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lastRenderedPageBreak/>
              <w:t>Useful websites / further guidance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357BD" w:rsidRPr="00732046" w:rsidRDefault="00D715DB" w:rsidP="007357B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hyperlink r:id="rId5" w:history="1">
              <w:r w:rsidR="007357BD" w:rsidRPr="00732046">
                <w:rPr>
                  <w:rStyle w:val="Hyperlink"/>
                  <w:rFonts w:ascii="Arial" w:hAnsi="Arial" w:cs="Arial"/>
                  <w:sz w:val="22"/>
                  <w:szCs w:val="22"/>
                </w:rPr>
                <w:t>www.ofsted.gov.uk</w:t>
              </w:r>
            </w:hyperlink>
            <w:r w:rsidR="007357BD" w:rsidRPr="0073204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357BD" w:rsidRPr="00732046" w:rsidRDefault="007357BD" w:rsidP="007357B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732046">
              <w:rPr>
                <w:rFonts w:ascii="Arial" w:hAnsi="Arial" w:cs="Arial"/>
                <w:sz w:val="22"/>
                <w:szCs w:val="22"/>
              </w:rPr>
              <w:t>Five Ste</w:t>
            </w:r>
            <w:r w:rsidR="002454C6">
              <w:rPr>
                <w:rFonts w:ascii="Arial" w:hAnsi="Arial" w:cs="Arial"/>
                <w:sz w:val="22"/>
                <w:szCs w:val="22"/>
              </w:rPr>
              <w:t xml:space="preserve">ps to Risk Assessment </w:t>
            </w:r>
            <w:r w:rsidRPr="00732046">
              <w:rPr>
                <w:rFonts w:ascii="Arial" w:hAnsi="Arial" w:cs="Arial"/>
                <w:sz w:val="22"/>
                <w:szCs w:val="22"/>
              </w:rPr>
              <w:br/>
            </w:r>
            <w:hyperlink r:id="rId6" w:history="1">
              <w:r w:rsidRPr="00732046">
                <w:rPr>
                  <w:rStyle w:val="Hyperlink"/>
                  <w:rFonts w:ascii="Arial" w:hAnsi="Arial" w:cs="Arial"/>
                  <w:sz w:val="22"/>
                  <w:szCs w:val="22"/>
                </w:rPr>
                <w:t>www.hse.gov.uk/pubns/indg163.pdf</w:t>
              </w:r>
            </w:hyperlink>
          </w:p>
          <w:p w:rsidR="007357BD" w:rsidRPr="00732046" w:rsidRDefault="007357BD" w:rsidP="007357B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732046">
              <w:rPr>
                <w:rFonts w:ascii="Arial" w:hAnsi="Arial" w:cs="Arial"/>
                <w:sz w:val="22"/>
                <w:szCs w:val="22"/>
              </w:rPr>
              <w:t>Risk Managemen</w:t>
            </w:r>
            <w:r w:rsidR="002454C6">
              <w:rPr>
                <w:rFonts w:ascii="Arial" w:hAnsi="Arial" w:cs="Arial"/>
                <w:sz w:val="22"/>
                <w:szCs w:val="22"/>
              </w:rPr>
              <w:t xml:space="preserve">t in Early Years Settings </w:t>
            </w:r>
          </w:p>
        </w:tc>
      </w:tr>
      <w:tr w:rsidR="007357BD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All policies</w:t>
            </w:r>
          </w:p>
        </w:tc>
      </w:tr>
      <w:tr w:rsidR="007357BD" w:rsidRPr="00732046">
        <w:trPr>
          <w:trHeight w:val="318"/>
        </w:trPr>
        <w:tc>
          <w:tcPr>
            <w:tcW w:w="2700" w:type="dxa"/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7357BD" w:rsidRPr="00732046">
        <w:trPr>
          <w:trHeight w:val="318"/>
        </w:trPr>
        <w:tc>
          <w:tcPr>
            <w:tcW w:w="2700" w:type="dxa"/>
          </w:tcPr>
          <w:p w:rsidR="007357BD" w:rsidRPr="00732046" w:rsidRDefault="007357BD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7357BD" w:rsidRPr="00732046" w:rsidRDefault="00BC303F" w:rsidP="002D64BF">
            <w:r>
              <w:t>R Lily</w:t>
            </w:r>
          </w:p>
        </w:tc>
      </w:tr>
      <w:tr w:rsidR="007357BD" w:rsidRPr="00732046">
        <w:trPr>
          <w:trHeight w:val="318"/>
        </w:trPr>
        <w:tc>
          <w:tcPr>
            <w:tcW w:w="9720" w:type="dxa"/>
            <w:gridSpan w:val="2"/>
          </w:tcPr>
          <w:p w:rsidR="007357BD" w:rsidRPr="00732046" w:rsidRDefault="007357BD" w:rsidP="00BC303F">
            <w:r w:rsidRPr="00732046">
              <w:rPr>
                <w:sz w:val="22"/>
                <w:szCs w:val="22"/>
              </w:rPr>
              <w:t>Review Date</w:t>
            </w:r>
            <w:r w:rsidR="00A0024C">
              <w:rPr>
                <w:sz w:val="22"/>
                <w:szCs w:val="22"/>
              </w:rPr>
              <w:t xml:space="preserve"> and next review due date: </w:t>
            </w:r>
            <w:r w:rsidR="00BC303F">
              <w:rPr>
                <w:sz w:val="22"/>
                <w:szCs w:val="22"/>
              </w:rPr>
              <w:t>Reviewed Jan 15, next review January 2016</w:t>
            </w:r>
          </w:p>
        </w:tc>
      </w:tr>
    </w:tbl>
    <w:p w:rsidR="007357BD" w:rsidRDefault="007357BD" w:rsidP="007357BD">
      <w:pPr>
        <w:jc w:val="both"/>
        <w:rPr>
          <w:sz w:val="22"/>
          <w:szCs w:val="22"/>
        </w:rPr>
      </w:pPr>
    </w:p>
    <w:p w:rsidR="00F86982" w:rsidRDefault="007357BD" w:rsidP="007357BD">
      <w:r>
        <w:rPr>
          <w:sz w:val="22"/>
          <w:szCs w:val="22"/>
        </w:rPr>
        <w:br w:type="page"/>
      </w:r>
    </w:p>
    <w:p w:rsidR="002454C6" w:rsidRDefault="002454C6"/>
    <w:sectPr w:rsidR="002454C6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833"/>
    <w:multiLevelType w:val="hybridMultilevel"/>
    <w:tmpl w:val="6504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070"/>
    <w:multiLevelType w:val="hybridMultilevel"/>
    <w:tmpl w:val="CC8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5592"/>
    <w:multiLevelType w:val="hybridMultilevel"/>
    <w:tmpl w:val="393C056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72841"/>
    <w:multiLevelType w:val="hybridMultilevel"/>
    <w:tmpl w:val="03EA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94316"/>
    <w:multiLevelType w:val="hybridMultilevel"/>
    <w:tmpl w:val="20129AF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411FE"/>
    <w:multiLevelType w:val="hybridMultilevel"/>
    <w:tmpl w:val="BF4C39A8"/>
    <w:lvl w:ilvl="0" w:tplc="C382D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C062D3"/>
    <w:multiLevelType w:val="hybridMultilevel"/>
    <w:tmpl w:val="000E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B16A0"/>
    <w:multiLevelType w:val="hybridMultilevel"/>
    <w:tmpl w:val="54E65CE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357BD"/>
    <w:rsid w:val="002454C6"/>
    <w:rsid w:val="0048291D"/>
    <w:rsid w:val="004A7162"/>
    <w:rsid w:val="007357BD"/>
    <w:rsid w:val="007B0F00"/>
    <w:rsid w:val="00A0024C"/>
    <w:rsid w:val="00BC303F"/>
    <w:rsid w:val="00C82B87"/>
    <w:rsid w:val="00CA3592"/>
    <w:rsid w:val="00D21DC8"/>
    <w:rsid w:val="00D715DB"/>
    <w:rsid w:val="00F86982"/>
    <w:rsid w:val="00FC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7BD"/>
    <w:rPr>
      <w:color w:val="0000FF"/>
      <w:u w:val="single"/>
    </w:rPr>
  </w:style>
  <w:style w:type="paragraph" w:styleId="ListParagraph">
    <w:name w:val="List Paragraph"/>
    <w:basedOn w:val="Normal"/>
    <w:qFormat/>
    <w:rsid w:val="007357BD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pubns/indg163.pdf" TargetMode="External"/><Relationship Id="rId5" Type="http://schemas.openxmlformats.org/officeDocument/2006/relationships/hyperlink" Target="http://www.ofsted.gov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SuzanneIbson</dc:creator>
  <cp:lastModifiedBy>Suzi</cp:lastModifiedBy>
  <cp:revision>2</cp:revision>
  <cp:lastPrinted>2013-09-22T19:06:00Z</cp:lastPrinted>
  <dcterms:created xsi:type="dcterms:W3CDTF">2015-01-30T11:00:00Z</dcterms:created>
  <dcterms:modified xsi:type="dcterms:W3CDTF">2015-01-30T11:00:00Z</dcterms:modified>
</cp:coreProperties>
</file>